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1" w:type="dxa"/>
        <w:tblInd w:w="-900" w:type="dxa"/>
        <w:tblLook w:val="0000" w:firstRow="0" w:lastRow="0" w:firstColumn="0" w:lastColumn="0" w:noHBand="0" w:noVBand="0"/>
      </w:tblPr>
      <w:tblGrid>
        <w:gridCol w:w="4770"/>
        <w:gridCol w:w="5851"/>
      </w:tblGrid>
      <w:tr w:rsidR="00BF6E5F" w:rsidRPr="0000135C" w:rsidTr="00D40CEB">
        <w:tc>
          <w:tcPr>
            <w:tcW w:w="4770" w:type="dxa"/>
          </w:tcPr>
          <w:p w:rsidR="00BF6E5F" w:rsidRPr="0000135C" w:rsidRDefault="00BF6E5F" w:rsidP="00D40CEB">
            <w:pPr>
              <w:widowControl w:val="0"/>
              <w:ind w:left="-57" w:right="-57" w:firstLine="57"/>
              <w:jc w:val="center"/>
              <w:rPr>
                <w:b/>
                <w:bCs/>
                <w:sz w:val="26"/>
                <w:szCs w:val="26"/>
                <w:lang w:val="it-IT"/>
              </w:rPr>
            </w:pPr>
            <w:r w:rsidRPr="0000135C">
              <w:rPr>
                <w:b/>
                <w:bCs/>
                <w:sz w:val="26"/>
                <w:szCs w:val="26"/>
                <w:lang w:val="it-IT"/>
              </w:rPr>
              <w:t xml:space="preserve">BỘ </w:t>
            </w:r>
            <w:r>
              <w:rPr>
                <w:b/>
                <w:bCs/>
                <w:sz w:val="26"/>
                <w:szCs w:val="26"/>
                <w:lang w:val="it-IT"/>
              </w:rPr>
              <w:t xml:space="preserve">NÔNG NGHIỆP </w:t>
            </w:r>
            <w:r w:rsidRPr="0000135C">
              <w:rPr>
                <w:b/>
                <w:bCs/>
                <w:sz w:val="26"/>
                <w:szCs w:val="26"/>
                <w:lang w:val="it-IT"/>
              </w:rPr>
              <w:t>VÀ MÔI TRƯỜNG</w:t>
            </w:r>
          </w:p>
          <w:p w:rsidR="00BF6E5F" w:rsidRPr="0000135C" w:rsidRDefault="00BF6E5F" w:rsidP="00D40CEB">
            <w:pPr>
              <w:widowControl w:val="0"/>
              <w:ind w:left="-57" w:right="-57"/>
              <w:jc w:val="center"/>
              <w:rPr>
                <w:b/>
                <w:lang w:val="it-IT"/>
              </w:rPr>
            </w:pPr>
            <w:r w:rsidRPr="0000135C">
              <w:rPr>
                <w:noProof/>
              </w:rPr>
              <mc:AlternateContent>
                <mc:Choice Requires="wps">
                  <w:drawing>
                    <wp:anchor distT="4294967295" distB="4294967295" distL="114300" distR="114300" simplePos="0" relativeHeight="251662336" behindDoc="0" locked="0" layoutInCell="1" allowOverlap="1" wp14:anchorId="74EE55FE" wp14:editId="7665E32A">
                      <wp:simplePos x="0" y="0"/>
                      <wp:positionH relativeFrom="column">
                        <wp:posOffset>601345</wp:posOffset>
                      </wp:positionH>
                      <wp:positionV relativeFrom="paragraph">
                        <wp:posOffset>16510</wp:posOffset>
                      </wp:positionV>
                      <wp:extent cx="1600200" cy="0"/>
                      <wp:effectExtent l="0" t="0" r="19050" b="19050"/>
                      <wp:wrapNone/>
                      <wp:docPr id="6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1B844D1" id="Line 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35pt,1.3pt" to="173.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63a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"/>
                  </w:pict>
                </mc:Fallback>
              </mc:AlternateContent>
            </w:r>
          </w:p>
        </w:tc>
        <w:tc>
          <w:tcPr>
            <w:tcW w:w="5851" w:type="dxa"/>
          </w:tcPr>
          <w:p w:rsidR="00BF6E5F" w:rsidRPr="0000135C" w:rsidRDefault="00BF6E5F" w:rsidP="00D40CEB">
            <w:pPr>
              <w:widowControl w:val="0"/>
              <w:ind w:left="-57" w:right="-57" w:firstLine="40"/>
              <w:jc w:val="center"/>
              <w:rPr>
                <w:b/>
                <w:bCs/>
                <w:sz w:val="26"/>
                <w:szCs w:val="26"/>
                <w:lang w:val="it-IT"/>
              </w:rPr>
            </w:pPr>
            <w:r w:rsidRPr="0000135C">
              <w:rPr>
                <w:b/>
                <w:bCs/>
                <w:sz w:val="26"/>
                <w:szCs w:val="26"/>
                <w:lang w:val="it-IT"/>
              </w:rPr>
              <w:t>CỘNG HÒA XÃ HỘI CHỦ NGHĨA VIỆT NAM</w:t>
            </w:r>
          </w:p>
          <w:p w:rsidR="00BF6E5F" w:rsidRPr="0000135C" w:rsidRDefault="00BF6E5F" w:rsidP="00D40CEB">
            <w:pPr>
              <w:widowControl w:val="0"/>
              <w:ind w:left="-57" w:right="-57" w:firstLine="40"/>
              <w:jc w:val="center"/>
              <w:rPr>
                <w:b/>
                <w:bCs/>
                <w:sz w:val="26"/>
                <w:szCs w:val="26"/>
                <w:lang w:val="it-IT"/>
              </w:rPr>
            </w:pPr>
            <w:r w:rsidRPr="0000135C">
              <w:rPr>
                <w:noProof/>
              </w:rPr>
              <mc:AlternateContent>
                <mc:Choice Requires="wps">
                  <w:drawing>
                    <wp:anchor distT="4294967295" distB="4294967295" distL="114300" distR="114300" simplePos="0" relativeHeight="251661312" behindDoc="0" locked="0" layoutInCell="1" allowOverlap="1" wp14:anchorId="3DC8AB3C" wp14:editId="565DE2B4">
                      <wp:simplePos x="0" y="0"/>
                      <wp:positionH relativeFrom="column">
                        <wp:posOffset>844550</wp:posOffset>
                      </wp:positionH>
                      <wp:positionV relativeFrom="paragraph">
                        <wp:posOffset>211455</wp:posOffset>
                      </wp:positionV>
                      <wp:extent cx="1914525" cy="0"/>
                      <wp:effectExtent l="0" t="0" r="28575" b="19050"/>
                      <wp:wrapNone/>
                      <wp:docPr id="6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673FFED" id="Line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5pt,16.65pt" to="217.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IbBEA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"/>
                  </w:pict>
                </mc:Fallback>
              </mc:AlternateContent>
            </w:r>
            <w:r w:rsidRPr="0000135C">
              <w:rPr>
                <w:b/>
                <w:bCs/>
                <w:sz w:val="26"/>
                <w:szCs w:val="26"/>
              </w:rPr>
              <w:t>Độc lập - Tự do - Hạnh phúc</w:t>
            </w:r>
          </w:p>
        </w:tc>
      </w:tr>
      <w:tr w:rsidR="00BF6E5F" w:rsidRPr="00285204" w:rsidTr="00D40CEB">
        <w:trPr>
          <w:trHeight w:val="636"/>
        </w:trPr>
        <w:tc>
          <w:tcPr>
            <w:tcW w:w="4770" w:type="dxa"/>
          </w:tcPr>
          <w:p w:rsidR="00BF6E5F" w:rsidRDefault="00BF6E5F" w:rsidP="00D40CEB">
            <w:pPr>
              <w:pStyle w:val="Heading2"/>
              <w:keepNext w:val="0"/>
              <w:widowControl w:val="0"/>
              <w:spacing w:before="0"/>
              <w:ind w:firstLine="34"/>
              <w:jc w:val="center"/>
              <w:rPr>
                <w:b w:val="0"/>
                <w:sz w:val="26"/>
                <w:szCs w:val="26"/>
              </w:rPr>
            </w:pPr>
            <w:r w:rsidRPr="0000135C">
              <w:rPr>
                <w:b w:val="0"/>
                <w:sz w:val="26"/>
                <w:szCs w:val="26"/>
              </w:rPr>
              <w:t xml:space="preserve">Số:  </w:t>
            </w:r>
            <w:r>
              <w:rPr>
                <w:b w:val="0"/>
                <w:sz w:val="26"/>
                <w:szCs w:val="26"/>
              </w:rPr>
              <w:t xml:space="preserve">      </w:t>
            </w:r>
            <w:r w:rsidRPr="0000135C">
              <w:rPr>
                <w:b w:val="0"/>
                <w:sz w:val="26"/>
                <w:szCs w:val="26"/>
              </w:rPr>
              <w:t xml:space="preserve">  /</w:t>
            </w:r>
            <w:r>
              <w:rPr>
                <w:b w:val="0"/>
                <w:sz w:val="26"/>
                <w:szCs w:val="26"/>
              </w:rPr>
              <w:t>BNNMT-KHTC</w:t>
            </w:r>
          </w:p>
          <w:p w:rsidR="00BF6E5F" w:rsidRPr="00CD54F3" w:rsidRDefault="00BF6E5F" w:rsidP="00CD54F3">
            <w:pPr>
              <w:ind w:right="-144" w:firstLine="34"/>
              <w:jc w:val="center"/>
              <w:rPr>
                <w:sz w:val="24"/>
                <w:szCs w:val="24"/>
              </w:rPr>
            </w:pPr>
            <w:r w:rsidRPr="00CD54F3">
              <w:rPr>
                <w:color w:val="000000"/>
                <w:sz w:val="24"/>
                <w:szCs w:val="24"/>
              </w:rPr>
              <w:t xml:space="preserve">V/v </w:t>
            </w:r>
            <w:r w:rsidR="00CD54F3" w:rsidRPr="00CD54F3">
              <w:rPr>
                <w:sz w:val="24"/>
                <w:szCs w:val="24"/>
              </w:rPr>
              <w:t>ý kiến chủ trương điều chỉnh Quy hoạch tỉnh Đồng Nai.</w:t>
            </w:r>
          </w:p>
        </w:tc>
        <w:tc>
          <w:tcPr>
            <w:tcW w:w="5851" w:type="dxa"/>
          </w:tcPr>
          <w:p w:rsidR="00BF6E5F" w:rsidRPr="00285204" w:rsidRDefault="00BF6E5F" w:rsidP="00D40CEB">
            <w:pPr>
              <w:widowControl w:val="0"/>
              <w:spacing w:before="240"/>
              <w:ind w:left="-57" w:right="-24" w:firstLine="57"/>
              <w:jc w:val="center"/>
              <w:rPr>
                <w:b/>
                <w:bCs/>
                <w:sz w:val="26"/>
                <w:szCs w:val="26"/>
              </w:rPr>
            </w:pPr>
            <w:r w:rsidRPr="0000135C">
              <w:rPr>
                <w:i/>
                <w:iCs/>
                <w:sz w:val="26"/>
                <w:szCs w:val="26"/>
              </w:rPr>
              <w:t>Hà Nội, ngày</w:t>
            </w:r>
            <w:r>
              <w:rPr>
                <w:i/>
                <w:iCs/>
                <w:sz w:val="26"/>
                <w:szCs w:val="26"/>
              </w:rPr>
              <w:t xml:space="preserve">       </w:t>
            </w:r>
            <w:r w:rsidRPr="0000135C">
              <w:rPr>
                <w:i/>
                <w:iCs/>
                <w:sz w:val="26"/>
                <w:szCs w:val="26"/>
              </w:rPr>
              <w:t>thán</w:t>
            </w:r>
            <w:r w:rsidRPr="0000135C">
              <w:rPr>
                <w:i/>
                <w:iCs/>
                <w:sz w:val="26"/>
                <w:szCs w:val="26"/>
                <w:lang w:val="it-IT"/>
              </w:rPr>
              <w:t>g</w:t>
            </w:r>
            <w:r>
              <w:rPr>
                <w:i/>
                <w:iCs/>
                <w:sz w:val="26"/>
                <w:szCs w:val="26"/>
                <w:lang w:val="it-IT"/>
              </w:rPr>
              <w:t xml:space="preserve">     </w:t>
            </w:r>
            <w:r w:rsidRPr="0000135C">
              <w:rPr>
                <w:i/>
                <w:iCs/>
                <w:sz w:val="26"/>
                <w:szCs w:val="26"/>
              </w:rPr>
              <w:t>năm</w:t>
            </w:r>
            <w:r>
              <w:rPr>
                <w:i/>
                <w:iCs/>
                <w:sz w:val="26"/>
                <w:szCs w:val="26"/>
              </w:rPr>
              <w:t xml:space="preserve"> 2025      </w:t>
            </w:r>
          </w:p>
        </w:tc>
      </w:tr>
    </w:tbl>
    <w:p w:rsidR="002B64E5" w:rsidRDefault="008E33B4" w:rsidP="0012054B">
      <w:pPr>
        <w:widowControl w:val="0"/>
        <w:spacing w:before="240" w:after="240" w:line="320" w:lineRule="auto"/>
        <w:jc w:val="center"/>
        <w:rPr>
          <w:color w:val="000000"/>
        </w:rPr>
      </w:pPr>
      <w:r>
        <w:rPr>
          <w:color w:val="000000"/>
        </w:rPr>
        <w:t xml:space="preserve">Kính gửi: </w:t>
      </w:r>
      <w:r w:rsidR="00CD54F3">
        <w:rPr>
          <w:color w:val="000000"/>
        </w:rPr>
        <w:t>Văn phòng Chính phủ</w:t>
      </w:r>
      <w:r>
        <w:rPr>
          <w:color w:val="000000"/>
        </w:rPr>
        <w:t>.</w:t>
      </w:r>
    </w:p>
    <w:p w:rsidR="002B64E5" w:rsidRDefault="00BF7A54" w:rsidP="005D5163">
      <w:pPr>
        <w:tabs>
          <w:tab w:val="left" w:pos="851"/>
          <w:tab w:val="left" w:pos="2552"/>
        </w:tabs>
        <w:spacing w:before="120" w:after="120" w:line="360" w:lineRule="exact"/>
        <w:ind w:right="49" w:firstLine="720"/>
        <w:jc w:val="both"/>
      </w:pPr>
      <w:bookmarkStart w:id="0" w:name="_heading=h.a74v8cl0aesm" w:colFirst="0" w:colLast="0"/>
      <w:bookmarkEnd w:id="0"/>
      <w:r>
        <w:t xml:space="preserve">Phúc đáp </w:t>
      </w:r>
      <w:r w:rsidRPr="00E86523">
        <w:rPr>
          <w:bCs/>
        </w:rPr>
        <w:t xml:space="preserve">công văn số </w:t>
      </w:r>
      <w:r>
        <w:rPr>
          <w:bCs/>
        </w:rPr>
        <w:t>4121</w:t>
      </w:r>
      <w:r w:rsidRPr="00E86523">
        <w:rPr>
          <w:bCs/>
        </w:rPr>
        <w:t>/</w:t>
      </w:r>
      <w:r>
        <w:rPr>
          <w:bCs/>
        </w:rPr>
        <w:t>VPCP</w:t>
      </w:r>
      <w:r w:rsidRPr="00E86523">
        <w:rPr>
          <w:bCs/>
        </w:rPr>
        <w:t>-</w:t>
      </w:r>
      <w:r>
        <w:rPr>
          <w:bCs/>
        </w:rPr>
        <w:t>QHĐP ngày 13/5/2025</w:t>
      </w:r>
      <w:r w:rsidRPr="00E86523">
        <w:rPr>
          <w:bCs/>
        </w:rPr>
        <w:t xml:space="preserve"> </w:t>
      </w:r>
      <w:r>
        <w:rPr>
          <w:bCs/>
        </w:rPr>
        <w:t>của Văn phòng Chính phủ</w:t>
      </w:r>
      <w:r w:rsidRPr="00C26D09">
        <w:t xml:space="preserve"> về việc </w:t>
      </w:r>
      <w:r>
        <w:rPr>
          <w:bCs/>
        </w:rPr>
        <w:t>xin ý kiến chủ trương điều chỉnh quy hoạch tỉnh Đồng Nai</w:t>
      </w:r>
      <w:r w:rsidR="008E33B4">
        <w:rPr>
          <w:color w:val="000000"/>
        </w:rPr>
        <w:t>; Sau khi nghiên cứu, Bộ Nông nghiệp và Môi trường có ý kiến như sau:</w:t>
      </w:r>
    </w:p>
    <w:p w:rsidR="00FA7367" w:rsidRDefault="00B12517" w:rsidP="005D5163">
      <w:pPr>
        <w:pStyle w:val="BodyText"/>
        <w:spacing w:before="120" w:after="120" w:line="360" w:lineRule="exact"/>
        <w:ind w:firstLine="720"/>
        <w:jc w:val="both"/>
        <w:rPr>
          <w:rFonts w:ascii="Times New Roman" w:hAnsi="Times New Roman"/>
          <w:szCs w:val="28"/>
        </w:rPr>
      </w:pPr>
      <w:bookmarkStart w:id="1" w:name="_heading=h.qbi4hq60tgz5" w:colFirst="0" w:colLast="0"/>
      <w:bookmarkEnd w:id="1"/>
      <w:r w:rsidRPr="00DF6928">
        <w:t xml:space="preserve">1. </w:t>
      </w:r>
      <w:bookmarkStart w:id="2" w:name="_heading=h.cphkwt7fivat" w:colFirst="0" w:colLast="0"/>
      <w:bookmarkEnd w:id="2"/>
      <w:r w:rsidR="003C57DA">
        <w:t xml:space="preserve">Việc điều chỉnh Quy hoạch tỉnh Đồng Nai thời kỳ 2021-2030, tầm nhìn đến năm 2050 theo trình tự, thủ tục rút gọn theo đề nghị của Ủy </w:t>
      </w:r>
      <w:r w:rsidR="00942B25">
        <w:t>ban nhân dân tỉnh Đồng Nai tại t</w:t>
      </w:r>
      <w:r w:rsidR="003C57DA">
        <w:t xml:space="preserve">ờ trình số 75/TTr-UBND ngày 07 tháng 5 năm 2025 cần thực hiện đúng, đầy đủ, </w:t>
      </w:r>
      <w:r w:rsidR="00834DB5">
        <w:t xml:space="preserve">nêu rõ việc đáp ứng các quy định, </w:t>
      </w:r>
      <w:r w:rsidR="003C57DA">
        <w:t>bảo</w:t>
      </w:r>
      <w:r w:rsidR="00834DB5">
        <w:t xml:space="preserve"> đảm</w:t>
      </w:r>
      <w:r w:rsidR="003C57DA">
        <w:t xml:space="preserve"> các căn cứ theo quy định tại</w:t>
      </w:r>
      <w:r w:rsidR="00BC27C3">
        <w:t xml:space="preserve"> khoản 16, Điều 1, Luật sửa đổi, bổ sung một số điều của Luật Quy hoạch, Luật Đầu tư, Luật Đầu tư theo phương thức đối tác công tư và Luật Đấu thầu năm 2024; </w:t>
      </w:r>
      <w:r w:rsidR="00834DB5">
        <w:t>khoản 1,</w:t>
      </w:r>
      <w:r w:rsidR="003C57DA">
        <w:t xml:space="preserve"> khoản 2</w:t>
      </w:r>
      <w:r w:rsidR="00BC27C3">
        <w:t>,</w:t>
      </w:r>
      <w:r w:rsidR="003C57DA">
        <w:t xml:space="preserve"> Điều 54a Luật Quy hoạch, được sửa đổi bổ sung tại Luật số 57/2024/QH15 ngày </w:t>
      </w:r>
      <w:r w:rsidR="00BC27C3">
        <w:t>29</w:t>
      </w:r>
      <w:r w:rsidR="003C57DA">
        <w:t xml:space="preserve"> tháng 11 năm 2024 và thuộc các trường hợp theo quy định tại khoản 2 Điều 38đ Nghị định số 37/2019/NĐ-CP ngày 07 tháng 5 năm 2019 của Chính phủ được sửa</w:t>
      </w:r>
      <w:r w:rsidR="00BC27C3">
        <w:t xml:space="preserve"> đổi, bổ sung tại khoản 24 Điều</w:t>
      </w:r>
      <w:r w:rsidR="00BC0D44">
        <w:t xml:space="preserve"> </w:t>
      </w:r>
      <w:r w:rsidR="003C57DA">
        <w:t xml:space="preserve">1 Nghị định số 22/2025/NĐ-CP ngày 11 </w:t>
      </w:r>
      <w:r w:rsidR="00BC0D44">
        <w:t xml:space="preserve">tháng 02 năm 2025 của Chính phủ, </w:t>
      </w:r>
      <w:r w:rsidR="003C57DA">
        <w:t xml:space="preserve">ý </w:t>
      </w:r>
      <w:r w:rsidR="00BC0D44">
        <w:t xml:space="preserve">kiến hướng dẫn của Bộ Tài chính </w:t>
      </w:r>
      <w:r w:rsidR="00627B68">
        <w:t>và các quy định hiện hành có liên quan.</w:t>
      </w:r>
      <w:r w:rsidR="00942B25" w:rsidRPr="00942B25">
        <w:rPr>
          <w:szCs w:val="28"/>
        </w:rPr>
        <w:t xml:space="preserve"> </w:t>
      </w:r>
      <w:r w:rsidR="00D80EDB">
        <w:rPr>
          <w:szCs w:val="28"/>
        </w:rPr>
        <w:t>Mặt khác</w:t>
      </w:r>
      <w:r w:rsidR="00440347">
        <w:rPr>
          <w:szCs w:val="28"/>
        </w:rPr>
        <w:t>, t</w:t>
      </w:r>
      <w:r w:rsidR="00440347">
        <w:t>heo Quyết định số 759/QĐ-TTg ngày 14/4/2025 của Thủ tướng Chính phủ phê duyệt đề án sắp xếp, tổ chức lại đơn vị hành chính các cấp và xây dựng mô hình tổ chức chính quyền địa phương 2 cấp, trong đó tỉnh Đồng Nai sáp nhập tỉnh Bình Phước lấy tên là tỉnh Đồng Nai</w:t>
      </w:r>
      <w:r w:rsidR="00D80EDB">
        <w:t>;</w:t>
      </w:r>
      <w:r w:rsidR="00440347">
        <w:t xml:space="preserve"> </w:t>
      </w:r>
      <w:r w:rsidR="00D80EDB">
        <w:t>t</w:t>
      </w:r>
      <w:r w:rsidR="00440347">
        <w:t>heo khoản 7, Điều 11 Nghị quyết số 76/2025/UBTVQH15 ngày 14/4/2025 của Ủy ban Thường vụ Quốc hội, quy định các đơn vị hành chính cấp huyện sẽ không còn, đơn vị hành chính cấp xã, cấp tỉnh chính thức đi vào hoạt động chậm nhất là ngày 15/8/2025</w:t>
      </w:r>
      <w:r w:rsidR="00440347" w:rsidRPr="00437604">
        <w:t xml:space="preserve"> </w:t>
      </w:r>
      <w:r w:rsidR="00440347">
        <w:t xml:space="preserve">và ngày 15/9/2025. </w:t>
      </w:r>
      <w:r w:rsidR="00942B25">
        <w:rPr>
          <w:szCs w:val="28"/>
        </w:rPr>
        <w:t xml:space="preserve">Do vậy, </w:t>
      </w:r>
      <w:r w:rsidR="00942B25">
        <w:rPr>
          <w:rFonts w:ascii="Times New Roman" w:hAnsi="Times New Roman"/>
          <w:szCs w:val="28"/>
        </w:rPr>
        <w:t>đề nghị cân nhắc thời điểm báo cáo cấp có thẩm quyền quyết định chủ trương điều chỉnh quy hoạch tỉnh Đồng Nai để phù hợp với lộ trình thực hiện sắp xếp đơn vị hành chính các cấp, tránh lãng phí nguồn lực cũng như phải xử lý các vấn đề liên quan khác phát sinh (nếu có) do điều chỉnh quy hoạch tỉnh trong thời điểm hiện nay.</w:t>
      </w:r>
    </w:p>
    <w:p w:rsidR="005C34BC" w:rsidRDefault="005C34BC" w:rsidP="005D5163">
      <w:pPr>
        <w:widowControl w:val="0"/>
        <w:spacing w:before="120" w:after="120" w:line="360" w:lineRule="exact"/>
        <w:ind w:firstLine="720"/>
        <w:jc w:val="both"/>
        <w:rPr>
          <w:color w:val="000000"/>
          <w:spacing w:val="-4"/>
        </w:rPr>
      </w:pPr>
      <w:r>
        <w:t xml:space="preserve">2. </w:t>
      </w:r>
      <w:r>
        <w:rPr>
          <w:color w:val="000000"/>
          <w:spacing w:val="-4"/>
        </w:rPr>
        <w:t xml:space="preserve"> Trong quá trình hoàn thiện hồ sơ</w:t>
      </w:r>
      <w:r w:rsidR="00975E41">
        <w:rPr>
          <w:color w:val="000000"/>
          <w:spacing w:val="-4"/>
        </w:rPr>
        <w:t xml:space="preserve"> điều chỉnh</w:t>
      </w:r>
      <w:r>
        <w:rPr>
          <w:color w:val="000000"/>
          <w:spacing w:val="-4"/>
        </w:rPr>
        <w:t xml:space="preserve"> quy hoạch và triển khai thực hiện quy hoạch cần lưu ý một số nội dung sau:</w:t>
      </w:r>
      <w:bookmarkStart w:id="3" w:name="_GoBack"/>
      <w:bookmarkEnd w:id="3"/>
    </w:p>
    <w:p w:rsidR="005F58DA" w:rsidRDefault="005C34BC" w:rsidP="005D5163">
      <w:pPr>
        <w:spacing w:before="120" w:line="360" w:lineRule="exact"/>
        <w:ind w:firstLine="720"/>
        <w:jc w:val="both"/>
        <w:rPr>
          <w:spacing w:val="2"/>
        </w:rPr>
      </w:pPr>
      <w:r>
        <w:t>a)</w:t>
      </w:r>
      <w:r w:rsidR="00F977C6">
        <w:t xml:space="preserve"> Đề nghị</w:t>
      </w:r>
      <w:r w:rsidR="00B12517">
        <w:t xml:space="preserve"> </w:t>
      </w:r>
      <w:r w:rsidR="00F977C6">
        <w:t>r</w:t>
      </w:r>
      <w:r w:rsidR="00561ED5">
        <w:t xml:space="preserve">à soát, điều chỉnh nội dung về phân vùng chức năng nguồn nước để phù hợp với quy định tại Điều 22 Luật Tài nguyên nước, trong đó lưu ý chức năng nguồn nước là căn cứ để lựa chọn các giải pháp bảo vệ nguồn nước, cải tạo, phục hồi các nguồn nước bị suy thoái, cạn kiệt, ô nhiễm... (khoản 2 Điều 22), </w:t>
      </w:r>
      <w:r w:rsidR="00561ED5">
        <w:lastRenderedPageBreak/>
        <w:t xml:space="preserve">không phải là căn cứ để phân bổ nguồn nước; Rà soát, bổ sung vào Quy hoạch tỉnh dòng chảy tối thiểu đối với sông, suối nội tỉnh theo quy định tại điểm a, khoản 1 và khoản 5 Điều 24 Luật Tài nguyên nước; Rà soát, bổ sung nội dung về phương án khai thác, sử dụng, bảo vệ tài nguyên nước, phòng, chống và khắc phục tác hại do nước gây ra trong quy hoạch tỉnh theo quy định tại Điều 20 Luật Tài nguyên nước. </w:t>
      </w:r>
      <w:r w:rsidR="00EC23DD">
        <w:rPr>
          <w:spacing w:val="2"/>
        </w:rPr>
        <w:t xml:space="preserve"> </w:t>
      </w:r>
    </w:p>
    <w:p w:rsidR="008B4A32" w:rsidRDefault="00975E41" w:rsidP="005D5163">
      <w:pPr>
        <w:spacing w:before="120" w:after="140" w:line="360" w:lineRule="exact"/>
        <w:ind w:firstLine="720"/>
        <w:jc w:val="both"/>
      </w:pPr>
      <w:r>
        <w:rPr>
          <w:spacing w:val="2"/>
        </w:rPr>
        <w:t>b)</w:t>
      </w:r>
      <w:r w:rsidR="009E4303">
        <w:rPr>
          <w:spacing w:val="2"/>
        </w:rPr>
        <w:t xml:space="preserve"> </w:t>
      </w:r>
      <w:r w:rsidR="008B4A32">
        <w:t xml:space="preserve">Liên quan nội dung điều chỉnh tuyến đường giao thông kết nối giữa tỉnh Đồng Nai, Bình Phước và Thành phố Hồ Chí Minh, đề nghị có giải pháp công trình (cống, cầu cạn…) khi tuyến đường đi qua vùng đất thấp, trũng để bảo đảm tiêu, thoát nước, chống ngập lụt, úng đồng thời gắn kết, đồng bộ, kết hợp công trình giao thông và công trình thủy lợi phục vụ đa mục tiêu. </w:t>
      </w:r>
    </w:p>
    <w:p w:rsidR="009E4303" w:rsidRDefault="008B4A32" w:rsidP="005D5163">
      <w:pPr>
        <w:spacing w:before="120" w:after="140" w:line="360" w:lineRule="exact"/>
        <w:ind w:firstLine="720"/>
        <w:jc w:val="both"/>
        <w:rPr>
          <w:color w:val="FF0000"/>
          <w:szCs w:val="24"/>
        </w:rPr>
      </w:pPr>
      <w:r>
        <w:t xml:space="preserve">Trong quá trình triển khai thực hiện dự </w:t>
      </w:r>
      <w:proofErr w:type="gramStart"/>
      <w:r>
        <w:t>án</w:t>
      </w:r>
      <w:proofErr w:type="gramEnd"/>
      <w:r>
        <w:t xml:space="preserve"> không làm ảnh hưởng đến hoạt động bình thường của công trình thủy lợi. Các hoạt động trong phạm vi bảo vệ công trình thủy lợi, thay đổi mục đích sử dụng công trình thủy lợi, an toàn công trình thủy lợi… phải tuân thủ Luật Thủy lợi và pháp luật khác có liên quan</w:t>
      </w:r>
      <w:r w:rsidR="00627B68">
        <w:rPr>
          <w:szCs w:val="24"/>
        </w:rPr>
        <w:t>.</w:t>
      </w:r>
    </w:p>
    <w:p w:rsidR="00537FDE" w:rsidRDefault="00975E41" w:rsidP="005D5163">
      <w:pPr>
        <w:spacing w:before="120" w:after="140" w:line="360" w:lineRule="exact"/>
        <w:ind w:firstLine="720"/>
        <w:jc w:val="both"/>
      </w:pPr>
      <w:r w:rsidRPr="00975E41">
        <w:rPr>
          <w:szCs w:val="24"/>
        </w:rPr>
        <w:t>c)</w:t>
      </w:r>
      <w:r w:rsidR="00E94148" w:rsidRPr="00975E41">
        <w:rPr>
          <w:szCs w:val="24"/>
        </w:rPr>
        <w:t xml:space="preserve"> </w:t>
      </w:r>
      <w:r w:rsidR="00537FDE" w:rsidRPr="00537FDE">
        <w:t>Việc chuyển mục đích sử dụng khoảng 85,5ha đất rừng đặc dụng, đề nghị UBND tỉnh Đ</w:t>
      </w:r>
      <w:r w:rsidR="006A7853">
        <w:t>ồ</w:t>
      </w:r>
      <w:r w:rsidR="00537FDE" w:rsidRPr="00537FDE">
        <w:t>ng Nai, trong quá trình thực hiện cần tuân thủ đúng theo quy định của pháp luật về lâm nghiệp, đặc biệt là diện tích rừng tự nhiên thực hiện nghiêm Kết luận số 61-KL/TW ngày 17/8/2023 của Ban Bí thư về tiếp tục thực hiện Chỉ thị số 13-CT/TW, ngày 12/01/2017 của Ban Bí thư về tăng cường sự lãnh đạo của Đảng đối với công tác quản lý, bảo vệ và phát triển rừng.</w:t>
      </w:r>
    </w:p>
    <w:p w:rsidR="00E95C40" w:rsidRDefault="00E95C40" w:rsidP="005D5163">
      <w:pPr>
        <w:spacing w:before="120" w:line="360" w:lineRule="exact"/>
        <w:ind w:firstLine="720"/>
        <w:jc w:val="both"/>
      </w:pPr>
      <w:r>
        <w:rPr>
          <w:lang w:val="de-DE"/>
        </w:rPr>
        <w:t>d</w:t>
      </w:r>
      <w:r w:rsidR="008B4F06">
        <w:rPr>
          <w:lang w:val="de-DE"/>
        </w:rPr>
        <w:t>)</w:t>
      </w:r>
      <w:r w:rsidR="00537FDE">
        <w:t xml:space="preserve"> </w:t>
      </w:r>
      <w:r w:rsidR="004327BD">
        <w:t>Ủy ban nhân dân tỉnh Đồng Nai đề xuất điều chỉnh quy hoạch: bổ sung quy hoạch mới tuyến đường từ ĐT 761 cầu Mã Đà đến giao với đường Vành đai 4 - thành phố Hồ Chí Minh vào Phụ lục VII - Phương án phát triển mạng lưới đường bộ tỉnh Đồng Nai; bổ sung quy hoạch mới cầu Mã Đà vào Phụ lục XI - Phương án bổ sung kết nối tỉnh Đồng Nai với các địa phương lân cận và điều chỉnh cơ cấu diện tích đất rừng đặc dụng (khoảng 85,5 ha) sang đất giao thông của Phụ lục XXVI - Phương án khoanh bổ vùng đất đai của Quy hoạch tỉnh Đồng Nai thời kỳ 2021 - 2030, tầm nhìn đến năm 2050 được Thủ tướng Chính phủ phê duyệt tại Quyết định số 586/QĐ-TTg ngày 03/7/2025. Tuy nhiên, h</w:t>
      </w:r>
      <w:r w:rsidR="00537FDE">
        <w:t xml:space="preserve">ồ sơ kèm </w:t>
      </w:r>
      <w:proofErr w:type="gramStart"/>
      <w:r w:rsidR="00537FDE">
        <w:t>theo</w:t>
      </w:r>
      <w:proofErr w:type="gramEnd"/>
      <w:r w:rsidR="00537FDE">
        <w:t xml:space="preserve"> không có thông tin về tọa độ chi tiết của tuyến đường, diện tích đất rừng đặc dụng sang đất giao thông đề xuất điều chỉnh, bổ sung vào quy hoạch; vì vậy, không có cơ sở để góp ý chi tiết về lĩnh vực địa chất. Trong quá trình thực hiện quy hoạch, nếu phát hiện khoáng sản có giá trị cao hơn khoáng sản làm vật liệu xây dựng thông thường, đề nghị Chủ đầu tư thông báo bằng văn bản cho cơ quan có thẩm quyền </w:t>
      </w:r>
      <w:proofErr w:type="gramStart"/>
      <w:r w:rsidR="00537FDE">
        <w:t>theo</w:t>
      </w:r>
      <w:proofErr w:type="gramEnd"/>
      <w:r w:rsidR="00537FDE">
        <w:t xml:space="preserve"> quy định của pháp luật.</w:t>
      </w:r>
      <w:r w:rsidRPr="00E95C40">
        <w:t xml:space="preserve"> </w:t>
      </w:r>
    </w:p>
    <w:p w:rsidR="00E95C40" w:rsidRDefault="00E95C40" w:rsidP="005D5163">
      <w:pPr>
        <w:spacing w:before="120" w:line="360" w:lineRule="exact"/>
        <w:ind w:firstLine="720"/>
        <w:jc w:val="both"/>
        <w:rPr>
          <w:lang w:val="de-DE"/>
        </w:rPr>
      </w:pPr>
      <w:r>
        <w:t>đ)</w:t>
      </w:r>
      <w:r w:rsidRPr="005E3874">
        <w:t xml:space="preserve"> Đề nghị rà soát</w:t>
      </w:r>
      <w:r>
        <w:t xml:space="preserve">, bổ sung đầy đủ các nội dung phương án phòng, chống thiên tai và ứng phó biến đổi khí hậu theo hướng dẫn của Bộ Nông nghiệp và Phát </w:t>
      </w:r>
      <w:r>
        <w:lastRenderedPageBreak/>
        <w:t>triển nông thôn (nay là Bộ Nông nghiệp và Môi trường) tại văn bản số 5858/BNN-PCTT ngày 16/9/2021</w:t>
      </w:r>
      <w:r w:rsidRPr="00F210CF">
        <w:rPr>
          <w:lang w:val="de-DE"/>
        </w:rPr>
        <w:t>.</w:t>
      </w:r>
      <w:r>
        <w:rPr>
          <w:lang w:val="de-DE"/>
        </w:rPr>
        <w:t xml:space="preserve"> </w:t>
      </w:r>
    </w:p>
    <w:p w:rsidR="002F4770" w:rsidRDefault="002F4770" w:rsidP="005D5163">
      <w:pPr>
        <w:spacing w:before="120" w:line="360" w:lineRule="exact"/>
        <w:ind w:firstLine="720"/>
        <w:jc w:val="both"/>
        <w:rPr>
          <w:lang w:val="de-DE"/>
        </w:rPr>
      </w:pPr>
      <w:r>
        <w:rPr>
          <w:lang w:val="de-DE"/>
        </w:rPr>
        <w:t>e)</w:t>
      </w:r>
      <w:r w:rsidR="00B422C7">
        <w:rPr>
          <w:lang w:val="de-DE"/>
        </w:rPr>
        <w:t xml:space="preserve"> </w:t>
      </w:r>
      <w:r w:rsidR="00B422C7">
        <w:t>Liên quan nội dung điều chỉnh tuyến đường giao thông kết nối giữa tỉnh Đồng Nai, Bình Phước và Thành phố Hồ Chí Minh, đề nghị có giải pháp công trình (cống, cầu cạn…) khi tuyến đường đi qua vùng đất thấp, trũng để bảo đảm tiêu, thoát nước, chống ngập lụt, úng đồng thời gắn kết, đồng bộ, kết hợp công trình giao thông và công trình thủy lợi phục vụ đa mục tiêu.</w:t>
      </w:r>
      <w:r w:rsidR="00B422C7" w:rsidRPr="00B422C7">
        <w:t xml:space="preserve"> </w:t>
      </w:r>
      <w:r w:rsidR="00B422C7">
        <w:t xml:space="preserve">Trong quá trình triển khai thực hiện dự </w:t>
      </w:r>
      <w:proofErr w:type="gramStart"/>
      <w:r w:rsidR="00B422C7">
        <w:t>án</w:t>
      </w:r>
      <w:proofErr w:type="gramEnd"/>
      <w:r w:rsidR="00B422C7">
        <w:t xml:space="preserve"> không làm ảnh hưởng đến hoạt động bình thường của công trình thủy lợi. Các hoạt động trong phạm vi bảo vệ công trình thủy lợi, thay đổi mục đích sử dụng công trình thủy lợi, an toàn công trình thủy lợi… phải tuân thủ Luật Thủy lợi và pháp luật khác có liên quan.</w:t>
      </w:r>
    </w:p>
    <w:p w:rsidR="00973301" w:rsidRDefault="00F91ADA" w:rsidP="005D5163">
      <w:pPr>
        <w:widowControl w:val="0"/>
        <w:spacing w:before="120" w:after="60" w:line="360" w:lineRule="exact"/>
        <w:ind w:firstLine="720"/>
        <w:jc w:val="both"/>
      </w:pPr>
      <w:r>
        <w:t>Bộ Nông nghiệp và Môi trường trân trọng gửi đến</w:t>
      </w:r>
      <w:r w:rsidR="008E33B4">
        <w:t xml:space="preserve"> </w:t>
      </w:r>
      <w:r w:rsidR="007A0CCC">
        <w:t>Văn phòng Chính phủ</w:t>
      </w:r>
      <w:r w:rsidR="00402EDB">
        <w:t xml:space="preserve"> </w:t>
      </w:r>
      <w:r>
        <w:t>để</w:t>
      </w:r>
      <w:r w:rsidR="00250350">
        <w:t xml:space="preserve"> nghiên cứu,</w:t>
      </w:r>
      <w:r>
        <w:t xml:space="preserve"> </w:t>
      </w:r>
      <w:r w:rsidR="008E33B4">
        <w:t>tổng hợp</w:t>
      </w:r>
      <w:proofErr w:type="gramStart"/>
      <w:r w:rsidR="008E33B4">
        <w:t>./</w:t>
      </w:r>
      <w:proofErr w:type="gramEnd"/>
      <w:r w:rsidR="008E33B4">
        <w:t>.</w:t>
      </w:r>
    </w:p>
    <w:p w:rsidR="00782EBA" w:rsidRDefault="00782EBA" w:rsidP="003E2565">
      <w:pPr>
        <w:widowControl w:val="0"/>
        <w:spacing w:after="60" w:line="360" w:lineRule="exact"/>
        <w:ind w:firstLine="720"/>
        <w:jc w:val="both"/>
      </w:pPr>
    </w:p>
    <w:tbl>
      <w:tblPr>
        <w:tblStyle w:val="a2"/>
        <w:tblW w:w="9093" w:type="dxa"/>
        <w:tblLayout w:type="fixed"/>
        <w:tblLook w:val="0400" w:firstRow="0" w:lastRow="0" w:firstColumn="0" w:lastColumn="0" w:noHBand="0" w:noVBand="1"/>
      </w:tblPr>
      <w:tblGrid>
        <w:gridCol w:w="5490"/>
        <w:gridCol w:w="3603"/>
      </w:tblGrid>
      <w:tr w:rsidR="002B64E5">
        <w:trPr>
          <w:trHeight w:val="1305"/>
        </w:trPr>
        <w:tc>
          <w:tcPr>
            <w:tcW w:w="5490" w:type="dxa"/>
          </w:tcPr>
          <w:p w:rsidR="002B64E5" w:rsidRDefault="008E33B4">
            <w:pPr>
              <w:spacing w:line="260" w:lineRule="auto"/>
              <w:rPr>
                <w:b/>
                <w:i/>
                <w:color w:val="000000"/>
                <w:sz w:val="24"/>
                <w:szCs w:val="24"/>
              </w:rPr>
            </w:pPr>
            <w:r>
              <w:rPr>
                <w:b/>
                <w:i/>
                <w:color w:val="000000"/>
                <w:sz w:val="24"/>
                <w:szCs w:val="24"/>
              </w:rPr>
              <w:t>Nơi nhận:</w:t>
            </w:r>
            <w:r>
              <w:rPr>
                <w:b/>
                <w:i/>
                <w:color w:val="000000"/>
                <w:sz w:val="24"/>
                <w:szCs w:val="24"/>
              </w:rPr>
              <w:tab/>
            </w:r>
            <w:r>
              <w:rPr>
                <w:b/>
                <w:i/>
                <w:color w:val="000000"/>
                <w:sz w:val="24"/>
                <w:szCs w:val="24"/>
              </w:rPr>
              <w:tab/>
            </w:r>
          </w:p>
          <w:p w:rsidR="002B64E5" w:rsidRDefault="008E33B4">
            <w:pPr>
              <w:spacing w:line="260" w:lineRule="auto"/>
              <w:rPr>
                <w:color w:val="000000"/>
                <w:sz w:val="22"/>
                <w:szCs w:val="22"/>
              </w:rPr>
            </w:pPr>
            <w:r>
              <w:rPr>
                <w:color w:val="000000"/>
                <w:sz w:val="22"/>
                <w:szCs w:val="22"/>
              </w:rPr>
              <w:t>- Như trên;</w:t>
            </w:r>
          </w:p>
          <w:p w:rsidR="002B64E5" w:rsidRDefault="008E33B4">
            <w:pPr>
              <w:spacing w:line="260" w:lineRule="auto"/>
              <w:rPr>
                <w:color w:val="000000"/>
                <w:sz w:val="22"/>
                <w:szCs w:val="22"/>
              </w:rPr>
            </w:pPr>
            <w:r>
              <w:rPr>
                <w:color w:val="000000"/>
                <w:sz w:val="22"/>
                <w:szCs w:val="22"/>
              </w:rPr>
              <w:t>- Bộ trưởng (để báo cáo);</w:t>
            </w:r>
          </w:p>
          <w:p w:rsidR="008B4F06" w:rsidRDefault="008B4F06">
            <w:pPr>
              <w:spacing w:line="260" w:lineRule="auto"/>
              <w:rPr>
                <w:color w:val="000000"/>
                <w:sz w:val="22"/>
                <w:szCs w:val="22"/>
              </w:rPr>
            </w:pPr>
            <w:r>
              <w:rPr>
                <w:color w:val="000000"/>
                <w:sz w:val="22"/>
                <w:szCs w:val="22"/>
              </w:rPr>
              <w:t>- UBND tỉnh Đồng Nai;</w:t>
            </w:r>
          </w:p>
          <w:p w:rsidR="002B64E5" w:rsidRDefault="008E33B4">
            <w:pPr>
              <w:spacing w:line="260" w:lineRule="auto"/>
              <w:rPr>
                <w:sz w:val="24"/>
                <w:szCs w:val="24"/>
              </w:rPr>
            </w:pPr>
            <w:r>
              <w:rPr>
                <w:color w:val="000000"/>
                <w:sz w:val="22"/>
                <w:szCs w:val="22"/>
              </w:rPr>
              <w:t>- Lưu: VT, KHTC</w:t>
            </w:r>
            <w:r>
              <w:rPr>
                <w:color w:val="000000"/>
                <w:sz w:val="24"/>
                <w:szCs w:val="24"/>
              </w:rPr>
              <w:t xml:space="preserve"> </w:t>
            </w:r>
            <w:r w:rsidRPr="00B80968">
              <w:rPr>
                <w:color w:val="000000"/>
                <w:sz w:val="22"/>
                <w:szCs w:val="22"/>
              </w:rPr>
              <w:t>(THH</w:t>
            </w:r>
            <w:r>
              <w:rPr>
                <w:color w:val="000000"/>
                <w:sz w:val="20"/>
                <w:szCs w:val="20"/>
              </w:rPr>
              <w:t>)</w:t>
            </w:r>
            <w:r>
              <w:rPr>
                <w:color w:val="000000"/>
                <w:sz w:val="24"/>
                <w:szCs w:val="24"/>
              </w:rPr>
              <w:t>.</w:t>
            </w:r>
          </w:p>
          <w:p w:rsidR="002B64E5" w:rsidRDefault="002B64E5">
            <w:pPr>
              <w:spacing w:line="380" w:lineRule="auto"/>
              <w:ind w:firstLine="176"/>
              <w:rPr>
                <w:i/>
                <w:color w:val="000000"/>
                <w:sz w:val="22"/>
                <w:szCs w:val="22"/>
              </w:rPr>
            </w:pPr>
          </w:p>
        </w:tc>
        <w:tc>
          <w:tcPr>
            <w:tcW w:w="3603" w:type="dxa"/>
          </w:tcPr>
          <w:p w:rsidR="002B64E5" w:rsidRDefault="008E33B4" w:rsidP="00B60A5F">
            <w:pPr>
              <w:spacing w:line="340" w:lineRule="exact"/>
              <w:ind w:firstLine="562"/>
              <w:jc w:val="center"/>
              <w:rPr>
                <w:b/>
                <w:color w:val="000000"/>
              </w:rPr>
            </w:pPr>
            <w:r>
              <w:rPr>
                <w:b/>
                <w:color w:val="000000"/>
              </w:rPr>
              <w:t>KT. BỘ TRƯỞNG</w:t>
            </w:r>
          </w:p>
          <w:p w:rsidR="002B64E5" w:rsidRDefault="008E33B4" w:rsidP="00B60A5F">
            <w:pPr>
              <w:spacing w:line="340" w:lineRule="exact"/>
              <w:ind w:firstLine="562"/>
              <w:jc w:val="center"/>
              <w:rPr>
                <w:b/>
                <w:color w:val="000000"/>
              </w:rPr>
            </w:pPr>
            <w:r>
              <w:rPr>
                <w:b/>
                <w:color w:val="000000"/>
              </w:rPr>
              <w:t>THỨ TRƯỞNG</w:t>
            </w:r>
          </w:p>
          <w:p w:rsidR="002B64E5" w:rsidRDefault="002B64E5" w:rsidP="00B60A5F">
            <w:pPr>
              <w:spacing w:line="340" w:lineRule="exact"/>
              <w:ind w:firstLine="567"/>
              <w:jc w:val="center"/>
              <w:rPr>
                <w:b/>
                <w:color w:val="000000"/>
              </w:rPr>
            </w:pPr>
          </w:p>
          <w:p w:rsidR="002B64E5" w:rsidRDefault="002B64E5" w:rsidP="00B60A5F">
            <w:pPr>
              <w:spacing w:line="340" w:lineRule="exact"/>
              <w:ind w:firstLine="567"/>
              <w:jc w:val="center"/>
              <w:rPr>
                <w:b/>
                <w:color w:val="000000"/>
              </w:rPr>
            </w:pPr>
          </w:p>
          <w:p w:rsidR="00B60A5F" w:rsidRDefault="00B60A5F" w:rsidP="00B60A5F">
            <w:pPr>
              <w:spacing w:line="340" w:lineRule="exact"/>
              <w:ind w:firstLine="567"/>
              <w:jc w:val="center"/>
              <w:rPr>
                <w:b/>
                <w:color w:val="000000"/>
              </w:rPr>
            </w:pPr>
          </w:p>
          <w:p w:rsidR="00B60A5F" w:rsidRDefault="00B60A5F" w:rsidP="00B60A5F">
            <w:pPr>
              <w:spacing w:line="340" w:lineRule="exact"/>
              <w:ind w:firstLine="567"/>
              <w:jc w:val="center"/>
              <w:rPr>
                <w:b/>
                <w:color w:val="000000"/>
              </w:rPr>
            </w:pPr>
          </w:p>
          <w:p w:rsidR="002B64E5" w:rsidRDefault="00346BA7" w:rsidP="00B60A5F">
            <w:pPr>
              <w:spacing w:line="340" w:lineRule="exact"/>
              <w:ind w:firstLine="567"/>
              <w:jc w:val="center"/>
              <w:rPr>
                <w:b/>
                <w:color w:val="000000"/>
              </w:rPr>
            </w:pPr>
            <w:r>
              <w:rPr>
                <w:b/>
                <w:color w:val="000000"/>
              </w:rPr>
              <w:t>Lê Công Thành</w:t>
            </w:r>
          </w:p>
        </w:tc>
      </w:tr>
    </w:tbl>
    <w:p w:rsidR="002B64E5" w:rsidRDefault="002B64E5">
      <w:pPr>
        <w:spacing w:line="400" w:lineRule="auto"/>
        <w:ind w:firstLine="176"/>
        <w:rPr>
          <w:b/>
          <w:i/>
          <w:color w:val="000000"/>
          <w:sz w:val="24"/>
          <w:szCs w:val="24"/>
        </w:rPr>
      </w:pPr>
    </w:p>
    <w:p w:rsidR="002B64E5" w:rsidRDefault="002B64E5">
      <w:pPr>
        <w:spacing w:line="400" w:lineRule="auto"/>
        <w:rPr>
          <w:b/>
          <w:i/>
          <w:color w:val="000000"/>
          <w:sz w:val="24"/>
          <w:szCs w:val="24"/>
        </w:rPr>
      </w:pPr>
    </w:p>
    <w:sectPr w:rsidR="002B64E5" w:rsidSect="008E28AE">
      <w:headerReference w:type="default" r:id="rId8"/>
      <w:footerReference w:type="default" r:id="rId9"/>
      <w:pgSz w:w="11909" w:h="16834"/>
      <w:pgMar w:top="1134" w:right="1021" w:bottom="1134" w:left="1814" w:header="403" w:footer="40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A67" w:rsidRDefault="00410A67">
      <w:r>
        <w:separator/>
      </w:r>
    </w:p>
  </w:endnote>
  <w:endnote w:type="continuationSeparator" w:id="0">
    <w:p w:rsidR="00410A67" w:rsidRDefault="0041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4E5" w:rsidRDefault="002B64E5">
    <w:pPr>
      <w:pBdr>
        <w:top w:val="nil"/>
        <w:left w:val="nil"/>
        <w:bottom w:val="nil"/>
        <w:right w:val="nil"/>
        <w:between w:val="nil"/>
      </w:pBdr>
      <w:tabs>
        <w:tab w:val="center" w:pos="4680"/>
        <w:tab w:val="right" w:pos="9360"/>
      </w:tabs>
      <w:jc w:val="right"/>
      <w:rPr>
        <w:color w:val="000000"/>
      </w:rPr>
    </w:pPr>
  </w:p>
  <w:p w:rsidR="002B64E5" w:rsidRDefault="002B64E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A67" w:rsidRDefault="00410A67">
      <w:r>
        <w:separator/>
      </w:r>
    </w:p>
  </w:footnote>
  <w:footnote w:type="continuationSeparator" w:id="0">
    <w:p w:rsidR="00410A67" w:rsidRDefault="00410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4E5" w:rsidRDefault="008E33B4">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3A4A2A">
      <w:rPr>
        <w:noProof/>
        <w:color w:val="000000"/>
      </w:rPr>
      <w:t>3</w:t>
    </w:r>
    <w:r>
      <w:rPr>
        <w:color w:val="000000"/>
      </w:rPr>
      <w:fldChar w:fldCharType="end"/>
    </w:r>
  </w:p>
  <w:p w:rsidR="002B64E5" w:rsidRDefault="002B64E5">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E5"/>
    <w:rsid w:val="00016DB2"/>
    <w:rsid w:val="0004075E"/>
    <w:rsid w:val="000426A7"/>
    <w:rsid w:val="00063BEB"/>
    <w:rsid w:val="0008428C"/>
    <w:rsid w:val="000B0BDB"/>
    <w:rsid w:val="000B6DA8"/>
    <w:rsid w:val="000C111C"/>
    <w:rsid w:val="000E3288"/>
    <w:rsid w:val="000F3BAB"/>
    <w:rsid w:val="00112C81"/>
    <w:rsid w:val="001201CF"/>
    <w:rsid w:val="0012054B"/>
    <w:rsid w:val="00126974"/>
    <w:rsid w:val="00135E86"/>
    <w:rsid w:val="001429DA"/>
    <w:rsid w:val="00147A30"/>
    <w:rsid w:val="00176B97"/>
    <w:rsid w:val="00180B30"/>
    <w:rsid w:val="001A556B"/>
    <w:rsid w:val="001B3F1B"/>
    <w:rsid w:val="001B43BB"/>
    <w:rsid w:val="001B4E63"/>
    <w:rsid w:val="001B589F"/>
    <w:rsid w:val="001B6ECB"/>
    <w:rsid w:val="001C1E21"/>
    <w:rsid w:val="001F48E9"/>
    <w:rsid w:val="001F798A"/>
    <w:rsid w:val="0021591B"/>
    <w:rsid w:val="00216C76"/>
    <w:rsid w:val="0022204E"/>
    <w:rsid w:val="00230D03"/>
    <w:rsid w:val="00231CA2"/>
    <w:rsid w:val="0023652C"/>
    <w:rsid w:val="00250350"/>
    <w:rsid w:val="00294DDA"/>
    <w:rsid w:val="002B64E5"/>
    <w:rsid w:val="002D41A3"/>
    <w:rsid w:val="002E3563"/>
    <w:rsid w:val="002E4AA2"/>
    <w:rsid w:val="002F4770"/>
    <w:rsid w:val="00315FED"/>
    <w:rsid w:val="00317C18"/>
    <w:rsid w:val="003322D8"/>
    <w:rsid w:val="00337E66"/>
    <w:rsid w:val="00346BA7"/>
    <w:rsid w:val="00366019"/>
    <w:rsid w:val="003A4A2A"/>
    <w:rsid w:val="003C57DA"/>
    <w:rsid w:val="003E207E"/>
    <w:rsid w:val="003E2565"/>
    <w:rsid w:val="003E5B79"/>
    <w:rsid w:val="00402EDB"/>
    <w:rsid w:val="00403B4C"/>
    <w:rsid w:val="00410A67"/>
    <w:rsid w:val="00416B0A"/>
    <w:rsid w:val="00417644"/>
    <w:rsid w:val="00421955"/>
    <w:rsid w:val="004327BD"/>
    <w:rsid w:val="00437604"/>
    <w:rsid w:val="00440347"/>
    <w:rsid w:val="0044690A"/>
    <w:rsid w:val="00447A95"/>
    <w:rsid w:val="004501DE"/>
    <w:rsid w:val="00472DE8"/>
    <w:rsid w:val="00492928"/>
    <w:rsid w:val="004B0E7A"/>
    <w:rsid w:val="004E1320"/>
    <w:rsid w:val="004E698B"/>
    <w:rsid w:val="005228A5"/>
    <w:rsid w:val="00537FDE"/>
    <w:rsid w:val="00561ED5"/>
    <w:rsid w:val="00583CA8"/>
    <w:rsid w:val="00585400"/>
    <w:rsid w:val="005C34BC"/>
    <w:rsid w:val="005C41F4"/>
    <w:rsid w:val="005D5163"/>
    <w:rsid w:val="005E3874"/>
    <w:rsid w:val="005E50B0"/>
    <w:rsid w:val="005F58DA"/>
    <w:rsid w:val="00602C66"/>
    <w:rsid w:val="00606D6F"/>
    <w:rsid w:val="00627B68"/>
    <w:rsid w:val="006767CB"/>
    <w:rsid w:val="006A7853"/>
    <w:rsid w:val="006D7FFA"/>
    <w:rsid w:val="006E4B3C"/>
    <w:rsid w:val="006E5A54"/>
    <w:rsid w:val="006F69C5"/>
    <w:rsid w:val="007003A6"/>
    <w:rsid w:val="00710EF6"/>
    <w:rsid w:val="00721C6C"/>
    <w:rsid w:val="0072430E"/>
    <w:rsid w:val="00737621"/>
    <w:rsid w:val="00743D51"/>
    <w:rsid w:val="0074488E"/>
    <w:rsid w:val="00782EBA"/>
    <w:rsid w:val="007A0CCC"/>
    <w:rsid w:val="007A4CA8"/>
    <w:rsid w:val="007C2340"/>
    <w:rsid w:val="007C4B07"/>
    <w:rsid w:val="007E3CC0"/>
    <w:rsid w:val="00812BDF"/>
    <w:rsid w:val="0082007C"/>
    <w:rsid w:val="00834DB5"/>
    <w:rsid w:val="00852960"/>
    <w:rsid w:val="00875AC7"/>
    <w:rsid w:val="00877146"/>
    <w:rsid w:val="008938CC"/>
    <w:rsid w:val="008B4A32"/>
    <w:rsid w:val="008B4F06"/>
    <w:rsid w:val="008B7298"/>
    <w:rsid w:val="008E28AE"/>
    <w:rsid w:val="008E33B4"/>
    <w:rsid w:val="008E3B00"/>
    <w:rsid w:val="008F433E"/>
    <w:rsid w:val="0093545B"/>
    <w:rsid w:val="00935F7B"/>
    <w:rsid w:val="00942B25"/>
    <w:rsid w:val="00971EBF"/>
    <w:rsid w:val="00973301"/>
    <w:rsid w:val="00975E41"/>
    <w:rsid w:val="009A6A96"/>
    <w:rsid w:val="009B7EA7"/>
    <w:rsid w:val="009C5501"/>
    <w:rsid w:val="009D3A37"/>
    <w:rsid w:val="009E4303"/>
    <w:rsid w:val="009F530F"/>
    <w:rsid w:val="00A025A6"/>
    <w:rsid w:val="00A1580E"/>
    <w:rsid w:val="00A44F2E"/>
    <w:rsid w:val="00A74254"/>
    <w:rsid w:val="00A7442B"/>
    <w:rsid w:val="00AB5463"/>
    <w:rsid w:val="00AD5FE7"/>
    <w:rsid w:val="00AE7371"/>
    <w:rsid w:val="00B12517"/>
    <w:rsid w:val="00B159DF"/>
    <w:rsid w:val="00B179A0"/>
    <w:rsid w:val="00B241A1"/>
    <w:rsid w:val="00B422C7"/>
    <w:rsid w:val="00B556A1"/>
    <w:rsid w:val="00B607FF"/>
    <w:rsid w:val="00B609CF"/>
    <w:rsid w:val="00B60A5F"/>
    <w:rsid w:val="00B66F78"/>
    <w:rsid w:val="00B7412E"/>
    <w:rsid w:val="00B743D1"/>
    <w:rsid w:val="00B80968"/>
    <w:rsid w:val="00B82DD3"/>
    <w:rsid w:val="00B838C2"/>
    <w:rsid w:val="00BA111A"/>
    <w:rsid w:val="00BC0D44"/>
    <w:rsid w:val="00BC27C3"/>
    <w:rsid w:val="00BE3EB0"/>
    <w:rsid w:val="00BE4B84"/>
    <w:rsid w:val="00BF6E5F"/>
    <w:rsid w:val="00BF7A54"/>
    <w:rsid w:val="00C24D4A"/>
    <w:rsid w:val="00C41234"/>
    <w:rsid w:val="00C97C99"/>
    <w:rsid w:val="00CB2A7C"/>
    <w:rsid w:val="00CB3D49"/>
    <w:rsid w:val="00CB4E3F"/>
    <w:rsid w:val="00CB7772"/>
    <w:rsid w:val="00CC5F24"/>
    <w:rsid w:val="00CD063A"/>
    <w:rsid w:val="00CD2CB4"/>
    <w:rsid w:val="00CD54F3"/>
    <w:rsid w:val="00CE14C0"/>
    <w:rsid w:val="00D07B19"/>
    <w:rsid w:val="00D44D80"/>
    <w:rsid w:val="00D47224"/>
    <w:rsid w:val="00D65A8D"/>
    <w:rsid w:val="00D80EDB"/>
    <w:rsid w:val="00DA2E8C"/>
    <w:rsid w:val="00DA7171"/>
    <w:rsid w:val="00DB3593"/>
    <w:rsid w:val="00DB5707"/>
    <w:rsid w:val="00DC7827"/>
    <w:rsid w:val="00DF6928"/>
    <w:rsid w:val="00E1288D"/>
    <w:rsid w:val="00E32DA1"/>
    <w:rsid w:val="00E37385"/>
    <w:rsid w:val="00E5195F"/>
    <w:rsid w:val="00E62605"/>
    <w:rsid w:val="00E663B9"/>
    <w:rsid w:val="00E84993"/>
    <w:rsid w:val="00E87948"/>
    <w:rsid w:val="00E93919"/>
    <w:rsid w:val="00E94148"/>
    <w:rsid w:val="00E95C40"/>
    <w:rsid w:val="00EA0A29"/>
    <w:rsid w:val="00EC1A15"/>
    <w:rsid w:val="00EC23DD"/>
    <w:rsid w:val="00EC272C"/>
    <w:rsid w:val="00EC622A"/>
    <w:rsid w:val="00EC65D2"/>
    <w:rsid w:val="00EC7E3C"/>
    <w:rsid w:val="00EF0F2C"/>
    <w:rsid w:val="00EF3856"/>
    <w:rsid w:val="00F0461D"/>
    <w:rsid w:val="00F27B78"/>
    <w:rsid w:val="00F362F5"/>
    <w:rsid w:val="00F4282A"/>
    <w:rsid w:val="00F6758C"/>
    <w:rsid w:val="00F7093C"/>
    <w:rsid w:val="00F91ADA"/>
    <w:rsid w:val="00F939B0"/>
    <w:rsid w:val="00F941ED"/>
    <w:rsid w:val="00F977C6"/>
    <w:rsid w:val="00FA7367"/>
    <w:rsid w:val="00FC5EAA"/>
    <w:rsid w:val="00FE6023"/>
    <w:rsid w:val="00FE6457"/>
    <w:rsid w:val="00FF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5A9414-486C-4EC0-9E62-CDEDEF48B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70A"/>
  </w:style>
  <w:style w:type="paragraph" w:styleId="Heading1">
    <w:name w:val="heading 1"/>
    <w:basedOn w:val="Normal"/>
    <w:next w:val="Normal"/>
    <w:link w:val="Heading1Char"/>
    <w:uiPriority w:val="9"/>
    <w:qFormat/>
    <w:rsid w:val="00273580"/>
    <w:pPr>
      <w:keepNext/>
      <w:outlineLvl w:val="0"/>
    </w:pPr>
    <w:rPr>
      <w:b/>
      <w:sz w:val="24"/>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273580"/>
    <w:rPr>
      <w:rFonts w:eastAsia="Times New Roman" w:cs="Times New Roman"/>
      <w:b/>
      <w:sz w:val="24"/>
      <w:szCs w:val="20"/>
    </w:rPr>
  </w:style>
  <w:style w:type="character" w:customStyle="1" w:styleId="FooterChar">
    <w:name w:val="Footer Char"/>
    <w:basedOn w:val="DefaultParagraphFont"/>
    <w:link w:val="Footer"/>
    <w:uiPriority w:val="99"/>
    <w:rsid w:val="00273580"/>
    <w:rPr>
      <w:rFonts w:ascii=".VnTime" w:eastAsia="Times New Roman" w:hAnsi=".VnTime" w:cs="Times New Roman"/>
    </w:rPr>
  </w:style>
  <w:style w:type="paragraph" w:styleId="Footer">
    <w:name w:val="footer"/>
    <w:basedOn w:val="Normal"/>
    <w:link w:val="FooterChar"/>
    <w:uiPriority w:val="99"/>
    <w:unhideWhenUsed/>
    <w:rsid w:val="00273580"/>
    <w:pPr>
      <w:tabs>
        <w:tab w:val="center" w:pos="4680"/>
        <w:tab w:val="right" w:pos="9360"/>
      </w:tabs>
    </w:pPr>
    <w:rPr>
      <w:rFonts w:ascii=".VnTime" w:hAnsi=".VnTime"/>
    </w:rPr>
  </w:style>
  <w:style w:type="character" w:customStyle="1" w:styleId="FooterChar1">
    <w:name w:val="Footer Char1"/>
    <w:basedOn w:val="DefaultParagraphFont"/>
    <w:uiPriority w:val="99"/>
    <w:semiHidden/>
    <w:rsid w:val="00273580"/>
  </w:style>
  <w:style w:type="paragraph" w:styleId="ListParagraph">
    <w:name w:val="List Paragraph"/>
    <w:aliases w:val="Gach -"/>
    <w:basedOn w:val="Normal"/>
    <w:link w:val="ListParagraphChar"/>
    <w:uiPriority w:val="34"/>
    <w:qFormat/>
    <w:rsid w:val="00273580"/>
    <w:pPr>
      <w:ind w:left="720"/>
      <w:contextualSpacing/>
    </w:pPr>
    <w:rPr>
      <w:rFonts w:ascii=".VnTime" w:hAnsi=".VnTime"/>
    </w:rPr>
  </w:style>
  <w:style w:type="character" w:customStyle="1" w:styleId="ListParagraphChar">
    <w:name w:val="List Paragraph Char"/>
    <w:aliases w:val="Gach - Char"/>
    <w:link w:val="ListParagraph"/>
    <w:uiPriority w:val="34"/>
    <w:locked/>
    <w:rsid w:val="00273580"/>
    <w:rPr>
      <w:rFonts w:ascii=".VnTime" w:eastAsia="Times New Roman" w:hAnsi=".VnTime" w:cs="Times New Roman"/>
    </w:rPr>
  </w:style>
  <w:style w:type="paragraph" w:styleId="NoSpacing">
    <w:name w:val="No Spacing"/>
    <w:uiPriority w:val="1"/>
    <w:qFormat/>
    <w:rsid w:val="00273580"/>
    <w:pPr>
      <w:ind w:firstLine="720"/>
      <w:jc w:val="center"/>
    </w:pPr>
    <w:rPr>
      <w:rFonts w:eastAsia="Calibri"/>
      <w:szCs w:val="22"/>
    </w:rPr>
  </w:style>
  <w:style w:type="paragraph" w:styleId="BalloonText">
    <w:name w:val="Balloon Text"/>
    <w:basedOn w:val="Normal"/>
    <w:link w:val="BalloonTextChar"/>
    <w:uiPriority w:val="99"/>
    <w:semiHidden/>
    <w:unhideWhenUsed/>
    <w:rsid w:val="00E807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776"/>
    <w:rPr>
      <w:rFonts w:ascii="Segoe UI" w:hAnsi="Segoe UI" w:cs="Segoe UI"/>
      <w:sz w:val="18"/>
      <w:szCs w:val="18"/>
    </w:rPr>
  </w:style>
  <w:style w:type="table" w:styleId="TableGrid">
    <w:name w:val="Table Grid"/>
    <w:basedOn w:val="TableNormal"/>
    <w:uiPriority w:val="39"/>
    <w:rsid w:val="00701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F2B27"/>
    <w:pPr>
      <w:autoSpaceDE w:val="0"/>
      <w:autoSpaceDN w:val="0"/>
      <w:adjustRightInd w:val="0"/>
    </w:pPr>
    <w:rPr>
      <w:color w:val="000000"/>
      <w:sz w:val="24"/>
    </w:rPr>
  </w:style>
  <w:style w:type="paragraph" w:styleId="Header">
    <w:name w:val="header"/>
    <w:basedOn w:val="Normal"/>
    <w:link w:val="HeaderChar"/>
    <w:uiPriority w:val="99"/>
    <w:unhideWhenUsed/>
    <w:rsid w:val="008B52EF"/>
    <w:pPr>
      <w:tabs>
        <w:tab w:val="center" w:pos="4680"/>
        <w:tab w:val="right" w:pos="9360"/>
      </w:tabs>
    </w:pPr>
  </w:style>
  <w:style w:type="character" w:customStyle="1" w:styleId="HeaderChar">
    <w:name w:val="Header Char"/>
    <w:basedOn w:val="DefaultParagraphFont"/>
    <w:link w:val="Header"/>
    <w:uiPriority w:val="99"/>
    <w:rsid w:val="008B52EF"/>
  </w:style>
  <w:style w:type="character" w:styleId="CommentReference">
    <w:name w:val="annotation reference"/>
    <w:basedOn w:val="DefaultParagraphFont"/>
    <w:uiPriority w:val="99"/>
    <w:semiHidden/>
    <w:unhideWhenUsed/>
    <w:rsid w:val="006917B6"/>
    <w:rPr>
      <w:sz w:val="16"/>
      <w:szCs w:val="16"/>
    </w:rPr>
  </w:style>
  <w:style w:type="paragraph" w:styleId="CommentText">
    <w:name w:val="annotation text"/>
    <w:basedOn w:val="Normal"/>
    <w:link w:val="CommentTextChar"/>
    <w:uiPriority w:val="99"/>
    <w:semiHidden/>
    <w:unhideWhenUsed/>
    <w:rsid w:val="006917B6"/>
    <w:rPr>
      <w:sz w:val="20"/>
      <w:szCs w:val="20"/>
    </w:rPr>
  </w:style>
  <w:style w:type="character" w:customStyle="1" w:styleId="CommentTextChar">
    <w:name w:val="Comment Text Char"/>
    <w:basedOn w:val="DefaultParagraphFont"/>
    <w:link w:val="CommentText"/>
    <w:uiPriority w:val="99"/>
    <w:semiHidden/>
    <w:rsid w:val="006917B6"/>
    <w:rPr>
      <w:sz w:val="20"/>
      <w:szCs w:val="20"/>
    </w:rPr>
  </w:style>
  <w:style w:type="paragraph" w:styleId="CommentSubject">
    <w:name w:val="annotation subject"/>
    <w:basedOn w:val="CommentText"/>
    <w:next w:val="CommentText"/>
    <w:link w:val="CommentSubjectChar"/>
    <w:uiPriority w:val="99"/>
    <w:semiHidden/>
    <w:unhideWhenUsed/>
    <w:rsid w:val="006917B6"/>
    <w:rPr>
      <w:b/>
      <w:bCs/>
    </w:rPr>
  </w:style>
  <w:style w:type="character" w:customStyle="1" w:styleId="CommentSubjectChar">
    <w:name w:val="Comment Subject Char"/>
    <w:basedOn w:val="CommentTextChar"/>
    <w:link w:val="CommentSubject"/>
    <w:uiPriority w:val="99"/>
    <w:semiHidden/>
    <w:rsid w:val="006917B6"/>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character" w:customStyle="1" w:styleId="fontstyle01">
    <w:name w:val="fontstyle01"/>
    <w:rsid w:val="00B12517"/>
    <w:rPr>
      <w:rFonts w:ascii="Times New Roman" w:hAnsi="Times New Roman" w:cs="Times New Roman" w:hint="default"/>
      <w:b w:val="0"/>
      <w:bCs w:val="0"/>
      <w:i w:val="0"/>
      <w:iCs w:val="0"/>
      <w:color w:val="000000"/>
      <w:sz w:val="26"/>
      <w:szCs w:val="26"/>
    </w:rPr>
  </w:style>
  <w:style w:type="paragraph" w:styleId="NormalWeb">
    <w:name w:val="Normal (Web)"/>
    <w:basedOn w:val="Normal"/>
    <w:uiPriority w:val="99"/>
    <w:rsid w:val="00FA7367"/>
    <w:pPr>
      <w:spacing w:before="100" w:beforeAutospacing="1" w:after="100" w:afterAutospacing="1"/>
    </w:pPr>
    <w:rPr>
      <w:sz w:val="24"/>
      <w:szCs w:val="24"/>
    </w:rPr>
  </w:style>
  <w:style w:type="paragraph" w:styleId="BodyText">
    <w:name w:val="Body Text"/>
    <w:basedOn w:val="Normal"/>
    <w:link w:val="BodyTextChar"/>
    <w:rsid w:val="00942B25"/>
    <w:rPr>
      <w:rFonts w:ascii=".VnTime" w:hAnsi=".VnTime"/>
      <w:szCs w:val="24"/>
    </w:rPr>
  </w:style>
  <w:style w:type="character" w:customStyle="1" w:styleId="BodyTextChar">
    <w:name w:val="Body Text Char"/>
    <w:basedOn w:val="DefaultParagraphFont"/>
    <w:link w:val="BodyText"/>
    <w:rsid w:val="00942B25"/>
    <w:rPr>
      <w:rFonts w:ascii=".VnTime" w:hAnsi=".VnTime"/>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PXkvyhKpwqrYYVzUPrWRfnAMhA==">CgMxLjAyDmguYTc0djhjbDBhZXNtMg5oLnFiaTRocTYwdGd6NTIOaC5jcGhrd3Q3Zml2YXQ4AHIhMXJWcUh2aWtmTlFDRlU5ZWF6Q0dZLVAwV1FFcnFObzlO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6E473D-D1F1-4E09-937E-CAC040B76E5D}">
  <ds:schemaRefs>
    <ds:schemaRef ds:uri="http://schemas.openxmlformats.org/officeDocument/2006/bibliography"/>
  </ds:schemaRefs>
</ds:datastoreItem>
</file>

<file path=customXml/itemProps3.xml><?xml version="1.0" encoding="utf-8"?>
<ds:datastoreItem xmlns:ds="http://schemas.openxmlformats.org/officeDocument/2006/customXml" ds:itemID="{18F09073-1B8A-4EA4-BC9F-F6E4C831B620}"/>
</file>

<file path=customXml/itemProps4.xml><?xml version="1.0" encoding="utf-8"?>
<ds:datastoreItem xmlns:ds="http://schemas.openxmlformats.org/officeDocument/2006/customXml" ds:itemID="{60B2EC1C-CFDB-4F74-8E3D-3914C523FD4F}"/>
</file>

<file path=customXml/itemProps5.xml><?xml version="1.0" encoding="utf-8"?>
<ds:datastoreItem xmlns:ds="http://schemas.openxmlformats.org/officeDocument/2006/customXml" ds:itemID="{EF9C664F-EBF2-41E9-A02D-CDC0E8B7CC7C}"/>
</file>

<file path=docProps/app.xml><?xml version="1.0" encoding="utf-8"?>
<Properties xmlns="http://schemas.openxmlformats.org/officeDocument/2006/extended-properties" xmlns:vt="http://schemas.openxmlformats.org/officeDocument/2006/docPropsVTypes">
  <Template>Normal</Template>
  <TotalTime>2056</TotalTime>
  <Pages>3</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380</cp:revision>
  <cp:lastPrinted>2025-05-07T04:24:00Z</cp:lastPrinted>
  <dcterms:created xsi:type="dcterms:W3CDTF">2024-04-03T08:27:00Z</dcterms:created>
  <dcterms:modified xsi:type="dcterms:W3CDTF">2025-06-05T15:27:00Z</dcterms:modified>
</cp:coreProperties>
</file>